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456C" w:rsidRPr="00555A09" w:rsidRDefault="0097456C" w:rsidP="00A141C3">
      <w:pPr>
        <w:pStyle w:val="1"/>
        <w:spacing w:before="0" w:after="0" w:line="300" w:lineRule="auto"/>
        <w:jc w:val="center"/>
        <w:rPr>
          <w:sz w:val="30"/>
          <w:szCs w:val="30"/>
        </w:rPr>
      </w:pPr>
      <w:bookmarkStart w:id="0" w:name="_Toc252287404"/>
      <w:r w:rsidRPr="00555A09">
        <w:rPr>
          <w:rFonts w:hint="eastAsia"/>
          <w:sz w:val="30"/>
          <w:szCs w:val="30"/>
        </w:rPr>
        <w:t>第七章</w:t>
      </w:r>
      <w:bookmarkEnd w:id="0"/>
      <w:r w:rsidR="009613D0" w:rsidRPr="009613D0">
        <w:rPr>
          <w:rFonts w:hint="eastAsia"/>
          <w:sz w:val="30"/>
          <w:szCs w:val="30"/>
        </w:rPr>
        <w:t xml:space="preserve"> </w:t>
      </w:r>
      <w:r w:rsidR="009613D0" w:rsidRPr="009613D0">
        <w:rPr>
          <w:rFonts w:hint="eastAsia"/>
          <w:sz w:val="30"/>
          <w:szCs w:val="30"/>
        </w:rPr>
        <w:t>企业盈利能力分析</w:t>
      </w:r>
    </w:p>
    <w:p w:rsidR="0097456C" w:rsidRPr="00BC0D8B" w:rsidRDefault="0097456C" w:rsidP="00A141C3">
      <w:pPr>
        <w:pStyle w:val="2"/>
        <w:spacing w:before="0" w:after="0" w:line="300" w:lineRule="auto"/>
        <w:rPr>
          <w:rFonts w:ascii="宋体" w:eastAsia="宋体" w:hAnsi="宋体"/>
          <w:sz w:val="21"/>
          <w:szCs w:val="21"/>
        </w:rPr>
      </w:pPr>
      <w:r w:rsidRPr="00BC0D8B">
        <w:rPr>
          <w:rFonts w:ascii="宋体" w:eastAsia="宋体" w:hAnsi="宋体" w:hint="eastAsia"/>
          <w:sz w:val="21"/>
          <w:szCs w:val="21"/>
        </w:rPr>
        <w:t>课后习题答案</w:t>
      </w:r>
    </w:p>
    <w:p w:rsidR="0097456C" w:rsidRPr="001F44E8" w:rsidRDefault="0097456C" w:rsidP="00A141C3">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1．</w:t>
      </w:r>
      <w:r w:rsidRPr="0097456C">
        <w:rPr>
          <w:rFonts w:ascii="宋体" w:hAnsi="宋体" w:hint="eastAsia"/>
          <w:sz w:val="21"/>
          <w:szCs w:val="21"/>
        </w:rPr>
        <w:t>简述企业盈利能力分析的意义。</w:t>
      </w:r>
    </w:p>
    <w:p w:rsidR="0097456C" w:rsidRPr="00911C46" w:rsidRDefault="0097456C" w:rsidP="00A141C3">
      <w:pPr>
        <w:snapToGrid w:val="0"/>
        <w:spacing w:line="300" w:lineRule="auto"/>
        <w:ind w:firstLineChars="200" w:firstLine="420"/>
        <w:rPr>
          <w:szCs w:val="21"/>
        </w:rPr>
      </w:pPr>
      <w:r w:rsidRPr="00911C46">
        <w:rPr>
          <w:rFonts w:ascii="Arial" w:hAnsi="Arial" w:cs="Arial"/>
          <w:szCs w:val="21"/>
          <w:shd w:val="clear" w:color="auto" w:fill="FFFFFF"/>
        </w:rPr>
        <w:t>从企业角度来看</w:t>
      </w:r>
      <w:r>
        <w:rPr>
          <w:rFonts w:ascii="Arial" w:hAnsi="Arial" w:cs="Arial"/>
          <w:szCs w:val="21"/>
          <w:shd w:val="clear" w:color="auto" w:fill="FFFFFF"/>
        </w:rPr>
        <w:t>，</w:t>
      </w:r>
      <w:r w:rsidRPr="00911C46">
        <w:rPr>
          <w:rFonts w:ascii="Arial" w:hAnsi="Arial" w:cs="Arial"/>
          <w:szCs w:val="21"/>
          <w:shd w:val="clear" w:color="auto" w:fill="FFFFFF"/>
        </w:rPr>
        <w:t>企业从事经营活动</w:t>
      </w:r>
      <w:r>
        <w:rPr>
          <w:rFonts w:ascii="Arial" w:hAnsi="Arial" w:cs="Arial"/>
          <w:szCs w:val="21"/>
          <w:shd w:val="clear" w:color="auto" w:fill="FFFFFF"/>
        </w:rPr>
        <w:t>，</w:t>
      </w:r>
      <w:r w:rsidRPr="00911C46">
        <w:rPr>
          <w:rFonts w:ascii="Arial" w:hAnsi="Arial" w:cs="Arial"/>
          <w:szCs w:val="21"/>
          <w:shd w:val="clear" w:color="auto" w:fill="FFFFFF"/>
        </w:rPr>
        <w:t>其直接目的是最大限度地赚取利润并维持企业持续稳定地经营和发展。持续稳定地经营和发展是获取利润的基础</w:t>
      </w:r>
      <w:r>
        <w:rPr>
          <w:rFonts w:ascii="Arial" w:hAnsi="Arial" w:cs="Arial"/>
          <w:szCs w:val="21"/>
          <w:shd w:val="clear" w:color="auto" w:fill="FFFFFF"/>
        </w:rPr>
        <w:t>；</w:t>
      </w:r>
      <w:r w:rsidRPr="00911C46">
        <w:rPr>
          <w:rFonts w:ascii="Arial" w:hAnsi="Arial" w:cs="Arial"/>
          <w:szCs w:val="21"/>
          <w:shd w:val="clear" w:color="auto" w:fill="FFFFFF"/>
        </w:rPr>
        <w:t>而最大限度的获取利润又是企业持续稳定发展的目标和保证</w:t>
      </w:r>
      <w:r>
        <w:rPr>
          <w:rFonts w:ascii="Arial" w:hAnsi="Arial" w:cs="Arial" w:hint="eastAsia"/>
          <w:szCs w:val="21"/>
          <w:shd w:val="clear" w:color="auto" w:fill="FFFFFF"/>
        </w:rPr>
        <w:t>；</w:t>
      </w:r>
      <w:r w:rsidRPr="00911C46">
        <w:rPr>
          <w:rFonts w:ascii="Arial" w:hAnsi="Arial" w:cs="Arial"/>
          <w:szCs w:val="21"/>
          <w:shd w:val="clear" w:color="auto" w:fill="FFFFFF"/>
        </w:rPr>
        <w:t>只有在不断地获取利润的基础上</w:t>
      </w:r>
      <w:r>
        <w:rPr>
          <w:rFonts w:ascii="Arial" w:hAnsi="Arial" w:cs="Arial"/>
          <w:szCs w:val="21"/>
          <w:shd w:val="clear" w:color="auto" w:fill="FFFFFF"/>
        </w:rPr>
        <w:t>，</w:t>
      </w:r>
      <w:r w:rsidRPr="00911C46">
        <w:rPr>
          <w:rFonts w:ascii="Arial" w:hAnsi="Arial" w:cs="Arial"/>
          <w:szCs w:val="21"/>
          <w:shd w:val="clear" w:color="auto" w:fill="FFFFFF"/>
        </w:rPr>
        <w:t>企业才可能发展</w:t>
      </w:r>
      <w:r>
        <w:rPr>
          <w:rFonts w:ascii="Arial" w:hAnsi="Arial" w:cs="Arial"/>
          <w:szCs w:val="21"/>
          <w:shd w:val="clear" w:color="auto" w:fill="FFFFFF"/>
        </w:rPr>
        <w:t>；</w:t>
      </w:r>
      <w:r w:rsidRPr="00911C46">
        <w:rPr>
          <w:rFonts w:ascii="Arial" w:hAnsi="Arial" w:cs="Arial"/>
          <w:szCs w:val="21"/>
          <w:shd w:val="clear" w:color="auto" w:fill="FFFFFF"/>
        </w:rPr>
        <w:t>同样</w:t>
      </w:r>
      <w:r>
        <w:rPr>
          <w:rFonts w:ascii="Arial" w:hAnsi="Arial" w:cs="Arial"/>
          <w:szCs w:val="21"/>
          <w:shd w:val="clear" w:color="auto" w:fill="FFFFFF"/>
        </w:rPr>
        <w:t>，</w:t>
      </w:r>
      <w:r w:rsidRPr="00911C46">
        <w:rPr>
          <w:rFonts w:ascii="Arial" w:hAnsi="Arial" w:cs="Arial"/>
          <w:szCs w:val="21"/>
          <w:shd w:val="clear" w:color="auto" w:fill="FFFFFF"/>
        </w:rPr>
        <w:t>盈利能力较强的企业比盈利能力软弱的企业具有更大的活力和更好的发展前景</w:t>
      </w:r>
      <w:r>
        <w:rPr>
          <w:rFonts w:ascii="Arial" w:hAnsi="Arial" w:cs="Arial"/>
          <w:szCs w:val="21"/>
          <w:shd w:val="clear" w:color="auto" w:fill="FFFFFF"/>
        </w:rPr>
        <w:t>；</w:t>
      </w:r>
      <w:r w:rsidRPr="00911C46">
        <w:rPr>
          <w:rFonts w:ascii="Arial" w:hAnsi="Arial" w:cs="Arial"/>
          <w:szCs w:val="21"/>
          <w:shd w:val="clear" w:color="auto" w:fill="FFFFFF"/>
        </w:rPr>
        <w:t>因此</w:t>
      </w:r>
      <w:r>
        <w:rPr>
          <w:rFonts w:ascii="Arial" w:hAnsi="Arial" w:cs="Arial"/>
          <w:szCs w:val="21"/>
          <w:shd w:val="clear" w:color="auto" w:fill="FFFFFF"/>
        </w:rPr>
        <w:t>，</w:t>
      </w:r>
      <w:r w:rsidRPr="00911C46">
        <w:rPr>
          <w:rFonts w:ascii="Arial" w:hAnsi="Arial" w:cs="Arial"/>
          <w:szCs w:val="21"/>
          <w:shd w:val="clear" w:color="auto" w:fill="FFFFFF"/>
        </w:rPr>
        <w:t>盈利能力是企业经营人员最重要的业绩衡量标准和发现问题、改进企业管理的突破口。</w:t>
      </w:r>
    </w:p>
    <w:p w:rsidR="0097456C" w:rsidRDefault="0097456C" w:rsidP="00A141C3">
      <w:pPr>
        <w:snapToGrid w:val="0"/>
        <w:spacing w:line="300" w:lineRule="auto"/>
        <w:ind w:firstLineChars="200" w:firstLine="420"/>
        <w:rPr>
          <w:rFonts w:ascii="Arial" w:hAnsi="Arial" w:cs="Arial"/>
          <w:color w:val="333333"/>
          <w:sz w:val="14"/>
          <w:szCs w:val="14"/>
          <w:shd w:val="clear" w:color="auto" w:fill="FFFFFF"/>
        </w:rPr>
      </w:pPr>
      <w:r w:rsidRPr="00D07F36">
        <w:rPr>
          <w:rFonts w:hint="eastAsia"/>
        </w:rPr>
        <w:t>从债权人角度来说</w:t>
      </w:r>
      <w:r>
        <w:rPr>
          <w:rFonts w:hint="eastAsia"/>
        </w:rPr>
        <w:t>，</w:t>
      </w:r>
      <w:r w:rsidRPr="00D07F36">
        <w:rPr>
          <w:rFonts w:hint="eastAsia"/>
        </w:rPr>
        <w:t>利润是企业偿债的重要来源。盈利能力的强弱直接影响着企业偿债能力。企业向债权人举债时</w:t>
      </w:r>
      <w:r>
        <w:rPr>
          <w:rFonts w:hint="eastAsia"/>
        </w:rPr>
        <w:t>，</w:t>
      </w:r>
      <w:r w:rsidRPr="00D07F36">
        <w:rPr>
          <w:rFonts w:hint="eastAsia"/>
        </w:rPr>
        <w:t>债权人势必会分析企业偿债能力</w:t>
      </w:r>
      <w:r>
        <w:rPr>
          <w:rFonts w:hint="eastAsia"/>
        </w:rPr>
        <w:t>，</w:t>
      </w:r>
      <w:r w:rsidRPr="00D07F36">
        <w:rPr>
          <w:rFonts w:hint="eastAsia"/>
        </w:rPr>
        <w:t>而偿债能力的强弱取决</w:t>
      </w:r>
      <w:r>
        <w:rPr>
          <w:rFonts w:hint="eastAsia"/>
        </w:rPr>
        <w:t>于企业的盈利能力。因此，分析企业盈利能力对债权人非常重要。</w:t>
      </w:r>
    </w:p>
    <w:p w:rsidR="0097456C" w:rsidRDefault="0097456C" w:rsidP="00A141C3">
      <w:pPr>
        <w:snapToGrid w:val="0"/>
        <w:spacing w:line="300" w:lineRule="auto"/>
        <w:ind w:firstLineChars="200" w:firstLine="420"/>
        <w:rPr>
          <w:szCs w:val="21"/>
        </w:rPr>
      </w:pPr>
      <w:r w:rsidRPr="00D07F36">
        <w:rPr>
          <w:rFonts w:hint="eastAsia"/>
        </w:rPr>
        <w:t>从投资者角度来说</w:t>
      </w:r>
      <w:r>
        <w:rPr>
          <w:rFonts w:hint="eastAsia"/>
          <w:szCs w:val="21"/>
        </w:rPr>
        <w:t>，</w:t>
      </w:r>
      <w:r w:rsidRPr="00911C46">
        <w:rPr>
          <w:rFonts w:ascii="Arial" w:hAnsi="Arial" w:cs="Arial"/>
          <w:szCs w:val="21"/>
          <w:shd w:val="clear" w:color="auto" w:fill="FFFFFF"/>
        </w:rPr>
        <w:t>企业盈利能力</w:t>
      </w:r>
      <w:r>
        <w:rPr>
          <w:rFonts w:ascii="Arial" w:hAnsi="Arial" w:cs="Arial" w:hint="eastAsia"/>
          <w:szCs w:val="21"/>
          <w:shd w:val="clear" w:color="auto" w:fill="FFFFFF"/>
        </w:rPr>
        <w:t>也</w:t>
      </w:r>
      <w:r w:rsidRPr="00911C46">
        <w:rPr>
          <w:rFonts w:ascii="Arial" w:hAnsi="Arial" w:cs="Arial"/>
          <w:szCs w:val="21"/>
          <w:shd w:val="clear" w:color="auto" w:fill="FFFFFF"/>
        </w:rPr>
        <w:t>是至关重要的。股东们的直接目的就是获得更多的利润</w:t>
      </w:r>
      <w:r>
        <w:rPr>
          <w:rFonts w:ascii="Arial" w:hAnsi="Arial" w:cs="Arial"/>
          <w:szCs w:val="21"/>
          <w:shd w:val="clear" w:color="auto" w:fill="FFFFFF"/>
        </w:rPr>
        <w:t>，</w:t>
      </w:r>
      <w:r w:rsidRPr="00911C46">
        <w:rPr>
          <w:rFonts w:ascii="Arial" w:hAnsi="Arial" w:cs="Arial"/>
          <w:szCs w:val="21"/>
          <w:shd w:val="clear" w:color="auto" w:fill="FFFFFF"/>
        </w:rPr>
        <w:t>因为对于信用相同或相近的几个企业</w:t>
      </w:r>
      <w:r>
        <w:rPr>
          <w:rFonts w:ascii="Arial" w:hAnsi="Arial" w:cs="Arial"/>
          <w:szCs w:val="21"/>
          <w:shd w:val="clear" w:color="auto" w:fill="FFFFFF"/>
        </w:rPr>
        <w:t>，</w:t>
      </w:r>
      <w:r w:rsidRPr="00911C46">
        <w:rPr>
          <w:rFonts w:ascii="Arial" w:hAnsi="Arial" w:cs="Arial"/>
          <w:szCs w:val="21"/>
          <w:shd w:val="clear" w:color="auto" w:fill="FFFFFF"/>
        </w:rPr>
        <w:t>人们总是将资金投向盈利能力强的企业</w:t>
      </w:r>
      <w:r>
        <w:rPr>
          <w:rFonts w:ascii="Arial" w:hAnsi="Arial" w:cs="Arial" w:hint="eastAsia"/>
          <w:szCs w:val="21"/>
          <w:shd w:val="clear" w:color="auto" w:fill="FFFFFF"/>
        </w:rPr>
        <w:t>；</w:t>
      </w:r>
      <w:r w:rsidRPr="00911C46">
        <w:rPr>
          <w:rFonts w:ascii="Arial" w:hAnsi="Arial" w:cs="Arial"/>
          <w:szCs w:val="21"/>
          <w:shd w:val="clear" w:color="auto" w:fill="FFFFFF"/>
        </w:rPr>
        <w:t>股东们关心企业赚取利润的多少并重视对利润的分析</w:t>
      </w:r>
      <w:r>
        <w:rPr>
          <w:rFonts w:ascii="Arial" w:hAnsi="Arial" w:cs="Arial"/>
          <w:szCs w:val="21"/>
          <w:shd w:val="clear" w:color="auto" w:fill="FFFFFF"/>
        </w:rPr>
        <w:t>，</w:t>
      </w:r>
      <w:r w:rsidRPr="00911C46">
        <w:rPr>
          <w:rFonts w:ascii="Arial" w:hAnsi="Arial" w:cs="Arial"/>
          <w:szCs w:val="21"/>
          <w:shd w:val="clear" w:color="auto" w:fill="FFFFFF"/>
        </w:rPr>
        <w:t>因为</w:t>
      </w:r>
      <w:r w:rsidRPr="00911C46">
        <w:rPr>
          <w:rFonts w:hint="eastAsia"/>
          <w:szCs w:val="21"/>
        </w:rPr>
        <w:t>他们的收益来自于企业发放的股息、红利和转让股票产生的资本利得</w:t>
      </w:r>
      <w:r>
        <w:rPr>
          <w:rFonts w:ascii="Arial" w:hAnsi="Arial" w:cs="Arial"/>
          <w:szCs w:val="21"/>
          <w:shd w:val="clear" w:color="auto" w:fill="FFFFFF"/>
        </w:rPr>
        <w:t>；</w:t>
      </w:r>
      <w:r w:rsidRPr="00911C46">
        <w:rPr>
          <w:rFonts w:ascii="Arial" w:hAnsi="Arial" w:cs="Arial"/>
          <w:szCs w:val="21"/>
          <w:shd w:val="clear" w:color="auto" w:fill="FFFFFF"/>
        </w:rPr>
        <w:t>此外</w:t>
      </w:r>
      <w:r>
        <w:rPr>
          <w:rFonts w:ascii="Arial" w:hAnsi="Arial" w:cs="Arial" w:hint="eastAsia"/>
          <w:szCs w:val="21"/>
          <w:shd w:val="clear" w:color="auto" w:fill="FFFFFF"/>
        </w:rPr>
        <w:t>，</w:t>
      </w:r>
      <w:r w:rsidRPr="00911C46">
        <w:rPr>
          <w:rFonts w:ascii="Arial" w:hAnsi="Arial" w:cs="Arial"/>
          <w:szCs w:val="21"/>
          <w:shd w:val="clear" w:color="auto" w:fill="FFFFFF"/>
        </w:rPr>
        <w:t>企业盈利能力增加还会使股票价格上升</w:t>
      </w:r>
      <w:r>
        <w:rPr>
          <w:rFonts w:ascii="Arial" w:hAnsi="Arial" w:cs="Arial"/>
          <w:szCs w:val="21"/>
          <w:shd w:val="clear" w:color="auto" w:fill="FFFFFF"/>
        </w:rPr>
        <w:t>，</w:t>
      </w:r>
      <w:r w:rsidRPr="00911C46">
        <w:rPr>
          <w:rFonts w:ascii="Arial" w:hAnsi="Arial" w:cs="Arial"/>
          <w:szCs w:val="21"/>
          <w:shd w:val="clear" w:color="auto" w:fill="FFFFFF"/>
        </w:rPr>
        <w:t>从而使股东们获得</w:t>
      </w:r>
      <w:hyperlink r:id="rId6" w:tgtFrame="_blank" w:history="1">
        <w:r w:rsidRPr="0097456C">
          <w:rPr>
            <w:rStyle w:val="a7"/>
            <w:rFonts w:ascii="Arial" w:hAnsi="Arial" w:cs="Arial"/>
            <w:color w:val="auto"/>
            <w:szCs w:val="21"/>
            <w:u w:val="none"/>
            <w:shd w:val="clear" w:color="auto" w:fill="FFFFFF"/>
          </w:rPr>
          <w:t>资本收益</w:t>
        </w:r>
      </w:hyperlink>
      <w:r w:rsidRPr="0054315D">
        <w:rPr>
          <w:rFonts w:ascii="Arial" w:hAnsi="Arial" w:cs="Arial"/>
          <w:szCs w:val="21"/>
          <w:shd w:val="clear" w:color="auto" w:fill="FFFFFF"/>
        </w:rPr>
        <w:t>。</w:t>
      </w:r>
      <w:r w:rsidRPr="00911C46">
        <w:rPr>
          <w:rFonts w:hint="eastAsia"/>
          <w:szCs w:val="21"/>
        </w:rPr>
        <w:t>因此</w:t>
      </w:r>
      <w:r>
        <w:rPr>
          <w:rFonts w:hint="eastAsia"/>
          <w:szCs w:val="21"/>
        </w:rPr>
        <w:t>，</w:t>
      </w:r>
      <w:r w:rsidRPr="00911C46">
        <w:rPr>
          <w:rFonts w:hint="eastAsia"/>
          <w:szCs w:val="21"/>
        </w:rPr>
        <w:t>投资者也十分关注企业的盈利能力。</w:t>
      </w:r>
    </w:p>
    <w:p w:rsidR="0097456C" w:rsidRPr="00555A09" w:rsidRDefault="0097456C" w:rsidP="00A141C3">
      <w:pPr>
        <w:spacing w:line="300" w:lineRule="auto"/>
        <w:ind w:firstLineChars="200" w:firstLine="420"/>
        <w:rPr>
          <w:rFonts w:ascii="宋体" w:hAnsi="宋体"/>
        </w:rPr>
      </w:pPr>
    </w:p>
    <w:p w:rsidR="0097456C" w:rsidRDefault="0097456C" w:rsidP="00A141C3">
      <w:pPr>
        <w:pStyle w:val="3"/>
        <w:spacing w:before="0" w:after="0" w:line="300" w:lineRule="auto"/>
        <w:ind w:firstLineChars="200" w:firstLine="422"/>
        <w:rPr>
          <w:sz w:val="21"/>
          <w:szCs w:val="21"/>
        </w:rPr>
      </w:pPr>
      <w:r w:rsidRPr="001F44E8">
        <w:rPr>
          <w:rFonts w:ascii="宋体" w:hAnsi="宋体" w:hint="eastAsia"/>
          <w:sz w:val="21"/>
          <w:szCs w:val="21"/>
        </w:rPr>
        <w:t>2．</w:t>
      </w:r>
      <w:r w:rsidR="005221F5">
        <w:rPr>
          <w:rFonts w:hint="eastAsia"/>
          <w:sz w:val="21"/>
          <w:szCs w:val="21"/>
        </w:rPr>
        <w:t>分析人员应从哪些方面对企业的投资盈利能力进行分析</w:t>
      </w:r>
      <w:r w:rsidRPr="0097456C">
        <w:rPr>
          <w:rFonts w:hint="eastAsia"/>
          <w:sz w:val="21"/>
          <w:szCs w:val="21"/>
        </w:rPr>
        <w:t>。</w:t>
      </w:r>
    </w:p>
    <w:p w:rsidR="0097456C" w:rsidRDefault="0097456C" w:rsidP="00A141C3">
      <w:pPr>
        <w:spacing w:line="300" w:lineRule="auto"/>
      </w:pPr>
      <w:r>
        <w:rPr>
          <w:rFonts w:hint="eastAsia"/>
        </w:rPr>
        <w:t>企业的投资盈利</w:t>
      </w:r>
      <w:r w:rsidR="009E0F7B">
        <w:rPr>
          <w:rFonts w:hint="eastAsia"/>
        </w:rPr>
        <w:t>能力</w:t>
      </w:r>
      <w:r>
        <w:rPr>
          <w:rFonts w:hint="eastAsia"/>
        </w:rPr>
        <w:t>分析可以从总资产报酬率、净资产收益率、资本保值增值率等方面分析。</w:t>
      </w:r>
    </w:p>
    <w:p w:rsidR="0097456C" w:rsidRDefault="0097456C" w:rsidP="00A141C3">
      <w:pPr>
        <w:spacing w:line="300" w:lineRule="auto"/>
      </w:pPr>
      <w:r>
        <w:rPr>
          <w:rFonts w:hint="eastAsia"/>
        </w:rPr>
        <w:t>（</w:t>
      </w:r>
      <w:r>
        <w:rPr>
          <w:rFonts w:hint="eastAsia"/>
        </w:rPr>
        <w:t>1</w:t>
      </w:r>
      <w:r>
        <w:rPr>
          <w:rFonts w:hint="eastAsia"/>
        </w:rPr>
        <w:t>）总资产报酬率</w:t>
      </w:r>
    </w:p>
    <w:p w:rsidR="0097456C" w:rsidRPr="00D07F36" w:rsidRDefault="0097456C" w:rsidP="00A141C3">
      <w:pPr>
        <w:snapToGrid w:val="0"/>
        <w:spacing w:line="300" w:lineRule="auto"/>
        <w:ind w:firstLineChars="200" w:firstLine="420"/>
      </w:pPr>
      <w:r w:rsidRPr="00D07F36">
        <w:rPr>
          <w:rFonts w:hint="eastAsia"/>
        </w:rPr>
        <w:t>总资产报酬率是指企业在一定时期内获取的报酬总额（息税前利润）与平均资产总额的比率</w:t>
      </w:r>
      <w:r>
        <w:rPr>
          <w:rFonts w:hint="eastAsia"/>
        </w:rPr>
        <w:t>，</w:t>
      </w:r>
      <w:r w:rsidRPr="00D07F36">
        <w:rPr>
          <w:rFonts w:hint="eastAsia"/>
        </w:rPr>
        <w:t>反映了企业资产的综合利用效率</w:t>
      </w:r>
      <w:r>
        <w:rPr>
          <w:rFonts w:hint="eastAsia"/>
        </w:rPr>
        <w:t>，</w:t>
      </w:r>
      <w:r w:rsidRPr="00D07F36">
        <w:rPr>
          <w:rFonts w:hint="eastAsia"/>
        </w:rPr>
        <w:t>也是衡量企业利用债权人和所有者权益总额所取得盈利的重要指标。其计算公式为：</w:t>
      </w:r>
    </w:p>
    <w:p w:rsidR="0097456C" w:rsidRPr="00D07F36" w:rsidRDefault="0097456C" w:rsidP="00A141C3">
      <w:pPr>
        <w:snapToGrid w:val="0"/>
        <w:spacing w:line="300" w:lineRule="auto"/>
        <w:ind w:firstLineChars="200" w:firstLine="420"/>
      </w:pPr>
      <m:oMathPara>
        <m:oMath>
          <m:r>
            <m:rPr>
              <m:sty m:val="p"/>
            </m:rPr>
            <w:rPr>
              <w:rFonts w:ascii="Cambria Math" w:hAnsi="Cambria Math"/>
            </w:rPr>
            <m:t>总资产报酬率</m:t>
          </m:r>
          <m:r>
            <m:rPr>
              <m:sty m:val="p"/>
            </m:rPr>
            <w:rPr>
              <w:rFonts w:ascii="Cambria Math" w:hAnsi="Cambria Math"/>
            </w:rPr>
            <m:t>=</m:t>
          </m:r>
          <m:f>
            <m:fPr>
              <m:ctrlPr>
                <w:rPr>
                  <w:rFonts w:ascii="Cambria Math" w:hAnsi="Cambria Math"/>
                </w:rPr>
              </m:ctrlPr>
            </m:fPr>
            <m:num>
              <m:r>
                <m:rPr>
                  <m:sty m:val="p"/>
                </m:rPr>
                <w:rPr>
                  <w:rFonts w:ascii="Cambria Math" w:hAnsi="Cambria Math"/>
                </w:rPr>
                <m:t>息税前利润</m:t>
              </m:r>
            </m:num>
            <m:den>
              <m:r>
                <m:rPr>
                  <m:sty m:val="p"/>
                </m:rPr>
                <w:rPr>
                  <w:rFonts w:ascii="Cambria Math" w:hAnsi="Cambria Math"/>
                </w:rPr>
                <m:t>平均资产总额</m:t>
              </m:r>
            </m:den>
          </m:f>
          <m:r>
            <m:rPr>
              <m:sty m:val="p"/>
            </m:rPr>
            <w:rPr>
              <w:rFonts w:ascii="Cambria Math" w:hAnsi="Cambria Math"/>
            </w:rPr>
            <m:t>×100%</m:t>
          </m:r>
        </m:oMath>
      </m:oMathPara>
    </w:p>
    <w:p w:rsidR="0097456C" w:rsidRDefault="0097456C" w:rsidP="00A141C3">
      <w:pPr>
        <w:spacing w:line="300" w:lineRule="auto"/>
      </w:pPr>
      <w:r>
        <w:rPr>
          <w:rFonts w:hint="eastAsia"/>
        </w:rPr>
        <w:t>（</w:t>
      </w:r>
      <w:r>
        <w:rPr>
          <w:rFonts w:hint="eastAsia"/>
        </w:rPr>
        <w:t>2</w:t>
      </w:r>
      <w:r>
        <w:rPr>
          <w:rFonts w:hint="eastAsia"/>
        </w:rPr>
        <w:t>）净资产收益率</w:t>
      </w:r>
    </w:p>
    <w:p w:rsidR="0097456C" w:rsidRDefault="0097456C" w:rsidP="00A141C3">
      <w:pPr>
        <w:snapToGrid w:val="0"/>
        <w:spacing w:line="300" w:lineRule="auto"/>
        <w:ind w:firstLineChars="200" w:firstLine="420"/>
      </w:pPr>
      <w:r w:rsidRPr="00D07F36">
        <w:rPr>
          <w:rFonts w:hint="eastAsia"/>
        </w:rPr>
        <w:t>净资产收益率是</w:t>
      </w:r>
      <w:r>
        <w:rPr>
          <w:rFonts w:hint="eastAsia"/>
        </w:rPr>
        <w:t>指企业</w:t>
      </w:r>
      <w:r w:rsidRPr="00D07F36">
        <w:rPr>
          <w:rFonts w:hint="eastAsia"/>
        </w:rPr>
        <w:t>净利润与平均所有者权益（</w:t>
      </w:r>
      <w:r>
        <w:rPr>
          <w:rFonts w:hint="eastAsia"/>
        </w:rPr>
        <w:t>净资产</w:t>
      </w:r>
      <w:r w:rsidRPr="00D07F36">
        <w:rPr>
          <w:rFonts w:hint="eastAsia"/>
        </w:rPr>
        <w:t>）的</w:t>
      </w:r>
      <w:r>
        <w:rPr>
          <w:rFonts w:hint="eastAsia"/>
        </w:rPr>
        <w:t>比率</w:t>
      </w:r>
      <w:r w:rsidRPr="00D07F36">
        <w:rPr>
          <w:rFonts w:hint="eastAsia"/>
        </w:rPr>
        <w:t>。该比率是从所有者角度考察企业盈利水平的高低</w:t>
      </w:r>
      <w:r>
        <w:rPr>
          <w:rFonts w:hint="eastAsia"/>
        </w:rPr>
        <w:t>，</w:t>
      </w:r>
      <w:r w:rsidRPr="00D07F36">
        <w:rPr>
          <w:rFonts w:hint="eastAsia"/>
        </w:rPr>
        <w:t>反映了所有者投资的</w:t>
      </w:r>
      <w:r>
        <w:rPr>
          <w:rFonts w:hint="eastAsia"/>
        </w:rPr>
        <w:t>盈利</w:t>
      </w:r>
      <w:r w:rsidRPr="00D07F36">
        <w:rPr>
          <w:rFonts w:hint="eastAsia"/>
        </w:rPr>
        <w:t>能力。该比率越高</w:t>
      </w:r>
      <w:r>
        <w:rPr>
          <w:rFonts w:hint="eastAsia"/>
        </w:rPr>
        <w:t>，</w:t>
      </w:r>
      <w:r w:rsidRPr="00D07F36">
        <w:rPr>
          <w:rFonts w:hint="eastAsia"/>
        </w:rPr>
        <w:t>说明所有者投资带来的</w:t>
      </w:r>
      <w:r>
        <w:rPr>
          <w:rFonts w:hint="eastAsia"/>
        </w:rPr>
        <w:t>收益</w:t>
      </w:r>
      <w:r w:rsidRPr="00D07F36">
        <w:rPr>
          <w:rFonts w:hint="eastAsia"/>
        </w:rPr>
        <w:t>越高。</w:t>
      </w:r>
    </w:p>
    <w:p w:rsidR="0097456C" w:rsidRDefault="0097456C" w:rsidP="00A141C3">
      <w:pPr>
        <w:snapToGrid w:val="0"/>
        <w:spacing w:line="300" w:lineRule="auto"/>
        <w:ind w:firstLineChars="200" w:firstLine="420"/>
      </w:pPr>
      <w:r w:rsidRPr="00D07F36">
        <w:rPr>
          <w:rFonts w:hint="eastAsia"/>
        </w:rPr>
        <w:t>其计算公式为：</w:t>
      </w:r>
    </w:p>
    <w:p w:rsidR="0097456C" w:rsidRDefault="0097456C" w:rsidP="00A141C3">
      <w:pPr>
        <w:snapToGrid w:val="0"/>
        <w:spacing w:line="300" w:lineRule="auto"/>
        <w:ind w:firstLineChars="200" w:firstLine="420"/>
      </w:pPr>
      <m:oMathPara>
        <m:oMath>
          <m:r>
            <m:rPr>
              <m:sty m:val="p"/>
            </m:rPr>
            <w:rPr>
              <w:rFonts w:ascii="Cambria Math" w:hAnsi="Cambria Math" w:hint="eastAsia"/>
            </w:rPr>
            <m:t>净资产收益率</m:t>
          </m:r>
          <m:r>
            <m:rPr>
              <m:sty m:val="p"/>
            </m:rPr>
            <w:rPr>
              <w:rFonts w:ascii="Cambria Math" w:hAnsi="Cambria Math" w:hint="eastAsia"/>
            </w:rPr>
            <m:t>=</m:t>
          </m:r>
          <m:f>
            <m:fPr>
              <m:ctrlPr>
                <w:rPr>
                  <w:rFonts w:ascii="Cambria Math" w:hAnsi="Cambria Math"/>
                </w:rPr>
              </m:ctrlPr>
            </m:fPr>
            <m:num>
              <m:r>
                <m:rPr>
                  <m:sty m:val="p"/>
                </m:rPr>
                <w:rPr>
                  <w:rFonts w:ascii="Cambria Math" w:hAnsi="Cambria Math" w:hint="eastAsia"/>
                </w:rPr>
                <m:t>净利润</m:t>
              </m:r>
            </m:num>
            <m:den>
              <m:r>
                <m:rPr>
                  <m:sty m:val="p"/>
                </m:rPr>
                <w:rPr>
                  <w:rFonts w:ascii="Cambria Math" w:hAnsi="Cambria Math" w:hint="eastAsia"/>
                </w:rPr>
                <m:t>所有者权益平均值</m:t>
              </m:r>
            </m:den>
          </m:f>
          <m:r>
            <m:rPr>
              <m:sty m:val="p"/>
            </m:rPr>
            <w:rPr>
              <w:rFonts w:ascii="Cambria Math" w:hAnsi="Cambria Math"/>
            </w:rPr>
            <m:t>×100%</m:t>
          </m:r>
        </m:oMath>
      </m:oMathPara>
    </w:p>
    <w:p w:rsidR="009E0F7B" w:rsidRDefault="009E0F7B" w:rsidP="00A141C3">
      <w:pPr>
        <w:snapToGrid w:val="0"/>
        <w:spacing w:line="300" w:lineRule="auto"/>
      </w:pPr>
      <w:r>
        <w:rPr>
          <w:rFonts w:hint="eastAsia"/>
        </w:rPr>
        <w:t>（</w:t>
      </w:r>
      <w:r>
        <w:rPr>
          <w:rFonts w:hint="eastAsia"/>
        </w:rPr>
        <w:t>3</w:t>
      </w:r>
      <w:r>
        <w:rPr>
          <w:rFonts w:hint="eastAsia"/>
        </w:rPr>
        <w:t>）资本保值增值率</w:t>
      </w:r>
    </w:p>
    <w:p w:rsidR="009E0F7B" w:rsidRPr="00D07F36" w:rsidRDefault="009E0F7B" w:rsidP="00A141C3">
      <w:pPr>
        <w:snapToGrid w:val="0"/>
        <w:spacing w:line="300" w:lineRule="auto"/>
        <w:ind w:firstLineChars="200" w:firstLine="420"/>
      </w:pPr>
      <w:r w:rsidRPr="00D07F36">
        <w:rPr>
          <w:rFonts w:hint="eastAsia"/>
        </w:rPr>
        <w:t>资本保值增值率是指年末所有者权益与年初所有者权益的比率</w:t>
      </w:r>
      <w:r>
        <w:rPr>
          <w:rFonts w:hint="eastAsia"/>
        </w:rPr>
        <w:t>，</w:t>
      </w:r>
      <w:r w:rsidRPr="00D07F36">
        <w:rPr>
          <w:rFonts w:hint="eastAsia"/>
        </w:rPr>
        <w:t>反映所有者投资的保值增值情况。其计算公式为：</w:t>
      </w:r>
    </w:p>
    <w:p w:rsidR="009E0F7B" w:rsidRPr="00D07F36" w:rsidRDefault="009E0F7B" w:rsidP="00A141C3">
      <w:pPr>
        <w:snapToGrid w:val="0"/>
        <w:spacing w:line="300" w:lineRule="auto"/>
        <w:ind w:firstLineChars="200" w:firstLine="420"/>
      </w:pPr>
      <m:oMathPara>
        <m:oMath>
          <m:r>
            <m:rPr>
              <m:sty m:val="p"/>
            </m:rPr>
            <w:rPr>
              <w:rFonts w:ascii="Cambria Math" w:hAnsi="Cambria Math" w:hint="eastAsia"/>
            </w:rPr>
            <w:lastRenderedPageBreak/>
            <m:t>资本保值增值率＝</m:t>
          </m:r>
          <m:f>
            <m:fPr>
              <m:ctrlPr>
                <w:rPr>
                  <w:rFonts w:ascii="Cambria Math" w:hAnsi="Cambria Math"/>
                </w:rPr>
              </m:ctrlPr>
            </m:fPr>
            <m:num>
              <m:r>
                <m:rPr>
                  <m:sty m:val="p"/>
                </m:rPr>
                <w:rPr>
                  <w:rFonts w:ascii="Cambria Math" w:hAnsi="Cambria Math"/>
                </w:rPr>
                <m:t>期</m:t>
              </m:r>
              <m:r>
                <m:rPr>
                  <m:sty m:val="p"/>
                </m:rPr>
                <w:rPr>
                  <w:rFonts w:ascii="Cambria Math" w:hAnsi="Cambria Math" w:hint="eastAsia"/>
                </w:rPr>
                <m:t>末所有者权益</m:t>
              </m:r>
            </m:num>
            <m:den>
              <m:r>
                <m:rPr>
                  <m:sty m:val="p"/>
                </m:rPr>
                <w:rPr>
                  <w:rFonts w:ascii="Cambria Math" w:hAnsi="Cambria Math"/>
                </w:rPr>
                <m:t>期</m:t>
              </m:r>
              <m:r>
                <m:rPr>
                  <m:sty m:val="p"/>
                </m:rPr>
                <w:rPr>
                  <w:rFonts w:ascii="Cambria Math" w:hAnsi="Cambria Math" w:hint="eastAsia"/>
                </w:rPr>
                <m:t>初所有者权益</m:t>
              </m:r>
            </m:den>
          </m:f>
          <m:r>
            <m:rPr>
              <m:sty m:val="p"/>
            </m:rPr>
            <w:rPr>
              <w:rFonts w:ascii="Cambria Math" w:hAnsi="Cambria Math" w:hint="eastAsia"/>
            </w:rPr>
            <m:t>×</m:t>
          </m:r>
          <m:r>
            <m:rPr>
              <m:sty m:val="p"/>
            </m:rPr>
            <w:rPr>
              <w:rFonts w:ascii="Cambria Math" w:hAnsi="Cambria Math" w:hint="eastAsia"/>
            </w:rPr>
            <m:t>100%</m:t>
          </m:r>
        </m:oMath>
      </m:oMathPara>
    </w:p>
    <w:p w:rsidR="009E0F7B" w:rsidRDefault="009E0F7B" w:rsidP="00A141C3">
      <w:pPr>
        <w:snapToGrid w:val="0"/>
        <w:spacing w:line="300" w:lineRule="auto"/>
        <w:ind w:firstLineChars="200" w:firstLine="420"/>
      </w:pPr>
      <w:r>
        <w:rPr>
          <w:rFonts w:hint="eastAsia"/>
        </w:rPr>
        <w:t>该指标反映了所有者投入企业的资本的保值增值情况。该指标＞</w:t>
      </w:r>
      <w:r>
        <w:rPr>
          <w:rFonts w:hint="eastAsia"/>
        </w:rPr>
        <w:t>1</w:t>
      </w:r>
      <w:r>
        <w:rPr>
          <w:rFonts w:hint="eastAsia"/>
        </w:rPr>
        <w:t>，说明企业得到增值</w:t>
      </w:r>
      <w:r w:rsidRPr="00D07F36">
        <w:rPr>
          <w:rFonts w:hint="eastAsia"/>
        </w:rPr>
        <w:t>；</w:t>
      </w:r>
      <w:r>
        <w:rPr>
          <w:rFonts w:hint="eastAsia"/>
        </w:rPr>
        <w:t>该指标</w:t>
      </w:r>
      <w:r>
        <w:rPr>
          <w:rFonts w:hint="eastAsia"/>
        </w:rPr>
        <w:t>=1</w:t>
      </w:r>
      <w:r>
        <w:rPr>
          <w:rFonts w:hint="eastAsia"/>
        </w:rPr>
        <w:t>，说明企业刚好处于保值状态；该指标＜</w:t>
      </w:r>
      <w:r>
        <w:rPr>
          <w:rFonts w:hint="eastAsia"/>
        </w:rPr>
        <w:t>1</w:t>
      </w:r>
      <w:r>
        <w:rPr>
          <w:rFonts w:hint="eastAsia"/>
        </w:rPr>
        <w:t>，</w:t>
      </w:r>
      <w:r w:rsidRPr="00D07F36">
        <w:rPr>
          <w:rFonts w:hint="eastAsia"/>
        </w:rPr>
        <w:t>说明企业</w:t>
      </w:r>
      <w:r>
        <w:rPr>
          <w:rFonts w:hint="eastAsia"/>
        </w:rPr>
        <w:t>投资的获利</w:t>
      </w:r>
      <w:r w:rsidRPr="00D07F36">
        <w:rPr>
          <w:rFonts w:hint="eastAsia"/>
        </w:rPr>
        <w:t>不佳</w:t>
      </w:r>
      <w:r>
        <w:rPr>
          <w:rFonts w:hint="eastAsia"/>
        </w:rPr>
        <w:t>，甚至出现减值的情况</w:t>
      </w:r>
      <w:r w:rsidRPr="00D07F36">
        <w:rPr>
          <w:rFonts w:hint="eastAsia"/>
        </w:rPr>
        <w:t>。</w:t>
      </w:r>
    </w:p>
    <w:p w:rsidR="009E0F7B" w:rsidRPr="009E0F7B" w:rsidRDefault="009E0F7B" w:rsidP="00A141C3">
      <w:pPr>
        <w:snapToGrid w:val="0"/>
        <w:spacing w:line="300" w:lineRule="auto"/>
      </w:pPr>
    </w:p>
    <w:p w:rsidR="0097456C" w:rsidRDefault="0097456C" w:rsidP="00A141C3">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3．</w:t>
      </w:r>
      <w:r w:rsidR="009E0F7B" w:rsidRPr="009E0F7B">
        <w:rPr>
          <w:rFonts w:ascii="宋体" w:hAnsi="宋体" w:hint="eastAsia"/>
          <w:sz w:val="21"/>
          <w:szCs w:val="21"/>
        </w:rPr>
        <w:t>F公司2</w:t>
      </w:r>
      <w:r w:rsidR="005221F5">
        <w:rPr>
          <w:rFonts w:ascii="宋体" w:hAnsi="宋体" w:hint="eastAsia"/>
          <w:sz w:val="21"/>
          <w:szCs w:val="21"/>
        </w:rPr>
        <w:t>014</w:t>
      </w:r>
      <w:r w:rsidR="009E0F7B" w:rsidRPr="009E0F7B">
        <w:rPr>
          <w:rFonts w:ascii="宋体" w:hAnsi="宋体" w:hint="eastAsia"/>
          <w:sz w:val="21"/>
          <w:szCs w:val="21"/>
        </w:rPr>
        <w:t>年</w:t>
      </w:r>
      <w:r w:rsidR="009E0F7B" w:rsidRPr="009E0F7B">
        <w:rPr>
          <w:rFonts w:ascii="宋体" w:hAnsi="宋体"/>
          <w:sz w:val="21"/>
          <w:szCs w:val="21"/>
        </w:rPr>
        <w:t>、</w:t>
      </w:r>
      <w:r w:rsidR="009E0F7B" w:rsidRPr="009E0F7B">
        <w:rPr>
          <w:rFonts w:ascii="宋体" w:hAnsi="宋体" w:hint="eastAsia"/>
          <w:sz w:val="21"/>
          <w:szCs w:val="21"/>
        </w:rPr>
        <w:t>2</w:t>
      </w:r>
      <w:r w:rsidR="005221F5">
        <w:rPr>
          <w:rFonts w:ascii="宋体" w:hAnsi="宋体" w:hint="eastAsia"/>
          <w:sz w:val="21"/>
          <w:szCs w:val="21"/>
        </w:rPr>
        <w:t>015</w:t>
      </w:r>
      <w:r w:rsidR="009E0F7B" w:rsidRPr="009E0F7B">
        <w:rPr>
          <w:rFonts w:ascii="宋体" w:hAnsi="宋体" w:hint="eastAsia"/>
          <w:sz w:val="21"/>
          <w:szCs w:val="21"/>
        </w:rPr>
        <w:t>年</w:t>
      </w:r>
      <w:r w:rsidR="009E0F7B" w:rsidRPr="009E0F7B">
        <w:rPr>
          <w:rFonts w:ascii="宋体" w:hAnsi="宋体"/>
          <w:sz w:val="21"/>
          <w:szCs w:val="21"/>
        </w:rPr>
        <w:t>的销售盈利能力</w:t>
      </w:r>
      <w:r w:rsidR="009E0F7B" w:rsidRPr="009E0F7B">
        <w:rPr>
          <w:rFonts w:ascii="宋体" w:hAnsi="宋体" w:hint="eastAsia"/>
          <w:sz w:val="21"/>
          <w:szCs w:val="21"/>
        </w:rPr>
        <w:t>比较</w:t>
      </w:r>
      <w:r w:rsidR="009E0F7B">
        <w:rPr>
          <w:rFonts w:ascii="宋体" w:hAnsi="宋体" w:hint="eastAsia"/>
          <w:sz w:val="21"/>
          <w:szCs w:val="21"/>
        </w:rPr>
        <w:t>。</w:t>
      </w:r>
    </w:p>
    <w:tbl>
      <w:tblPr>
        <w:tblStyle w:val="a9"/>
        <w:tblW w:w="0" w:type="auto"/>
        <w:tblLook w:val="04A0" w:firstRow="1" w:lastRow="0" w:firstColumn="1" w:lastColumn="0" w:noHBand="0" w:noVBand="1"/>
      </w:tblPr>
      <w:tblGrid>
        <w:gridCol w:w="2842"/>
        <w:gridCol w:w="2843"/>
        <w:gridCol w:w="2843"/>
      </w:tblGrid>
      <w:tr w:rsidR="009E0F7B" w:rsidTr="009E0F7B">
        <w:tc>
          <w:tcPr>
            <w:tcW w:w="2842" w:type="dxa"/>
          </w:tcPr>
          <w:p w:rsidR="009E0F7B" w:rsidRPr="009E0F7B" w:rsidRDefault="009E0F7B" w:rsidP="00A141C3">
            <w:pPr>
              <w:spacing w:line="300" w:lineRule="auto"/>
              <w:jc w:val="center"/>
              <w:rPr>
                <w:rFonts w:ascii="楷体" w:eastAsia="楷体" w:hAnsi="楷体"/>
              </w:rPr>
            </w:pPr>
            <w:r w:rsidRPr="009E0F7B">
              <w:rPr>
                <w:rFonts w:ascii="楷体" w:eastAsia="楷体" w:hAnsi="楷体" w:hint="eastAsia"/>
              </w:rPr>
              <w:t>项目</w:t>
            </w:r>
          </w:p>
        </w:tc>
        <w:tc>
          <w:tcPr>
            <w:tcW w:w="2843" w:type="dxa"/>
          </w:tcPr>
          <w:p w:rsidR="009E0F7B" w:rsidRPr="009E0F7B" w:rsidRDefault="009E0F7B" w:rsidP="00A141C3">
            <w:pPr>
              <w:spacing w:line="300" w:lineRule="auto"/>
              <w:jc w:val="center"/>
              <w:rPr>
                <w:rFonts w:ascii="楷体" w:eastAsia="楷体" w:hAnsi="楷体"/>
              </w:rPr>
            </w:pPr>
            <w:r w:rsidRPr="009E0F7B">
              <w:rPr>
                <w:rFonts w:ascii="楷体" w:eastAsia="楷体" w:hAnsi="楷体" w:hint="eastAsia"/>
              </w:rPr>
              <w:t>2</w:t>
            </w:r>
            <w:r w:rsidR="005221F5">
              <w:rPr>
                <w:rFonts w:ascii="楷体" w:eastAsia="楷体" w:hAnsi="楷体" w:hint="eastAsia"/>
              </w:rPr>
              <w:t>014</w:t>
            </w:r>
            <w:r w:rsidRPr="009E0F7B">
              <w:rPr>
                <w:rFonts w:ascii="楷体" w:eastAsia="楷体" w:hAnsi="楷体" w:hint="eastAsia"/>
              </w:rPr>
              <w:t>年</w:t>
            </w:r>
          </w:p>
        </w:tc>
        <w:tc>
          <w:tcPr>
            <w:tcW w:w="2843" w:type="dxa"/>
          </w:tcPr>
          <w:p w:rsidR="009E0F7B" w:rsidRPr="009E0F7B" w:rsidRDefault="009E0F7B" w:rsidP="00A141C3">
            <w:pPr>
              <w:spacing w:line="300" w:lineRule="auto"/>
              <w:jc w:val="center"/>
              <w:rPr>
                <w:rFonts w:ascii="楷体" w:eastAsia="楷体" w:hAnsi="楷体"/>
              </w:rPr>
            </w:pPr>
            <w:r w:rsidRPr="009E0F7B">
              <w:rPr>
                <w:rFonts w:ascii="楷体" w:eastAsia="楷体" w:hAnsi="楷体" w:hint="eastAsia"/>
              </w:rPr>
              <w:t>2</w:t>
            </w:r>
            <w:r w:rsidR="005221F5">
              <w:rPr>
                <w:rFonts w:ascii="楷体" w:eastAsia="楷体" w:hAnsi="楷体" w:hint="eastAsia"/>
              </w:rPr>
              <w:t>015</w:t>
            </w:r>
            <w:r w:rsidRPr="009E0F7B">
              <w:rPr>
                <w:rFonts w:ascii="楷体" w:eastAsia="楷体" w:hAnsi="楷体" w:hint="eastAsia"/>
              </w:rPr>
              <w:t>年</w:t>
            </w:r>
          </w:p>
        </w:tc>
      </w:tr>
      <w:tr w:rsidR="009E0F7B" w:rsidTr="009E0F7B">
        <w:tc>
          <w:tcPr>
            <w:tcW w:w="2842" w:type="dxa"/>
          </w:tcPr>
          <w:p w:rsidR="009E0F7B" w:rsidRPr="009E0F7B" w:rsidRDefault="009E0F7B" w:rsidP="00A141C3">
            <w:pPr>
              <w:spacing w:line="300" w:lineRule="auto"/>
              <w:jc w:val="center"/>
              <w:rPr>
                <w:rFonts w:ascii="楷体" w:eastAsia="楷体" w:hAnsi="楷体"/>
              </w:rPr>
            </w:pPr>
            <w:r>
              <w:rPr>
                <w:rFonts w:ascii="楷体" w:eastAsia="楷体" w:hAnsi="楷体" w:hint="eastAsia"/>
              </w:rPr>
              <w:t>销售毛利率（%）</w:t>
            </w:r>
          </w:p>
        </w:tc>
        <w:tc>
          <w:tcPr>
            <w:tcW w:w="2843" w:type="dxa"/>
          </w:tcPr>
          <w:p w:rsidR="009E0F7B" w:rsidRPr="009E0F7B" w:rsidRDefault="009E0F7B" w:rsidP="00A141C3">
            <w:pPr>
              <w:spacing w:line="300" w:lineRule="auto"/>
              <w:jc w:val="center"/>
              <w:rPr>
                <w:rFonts w:ascii="楷体" w:eastAsia="楷体" w:hAnsi="楷体"/>
              </w:rPr>
            </w:pPr>
            <w:r>
              <w:rPr>
                <w:rFonts w:ascii="楷体" w:eastAsia="楷体" w:hAnsi="楷体" w:hint="eastAsia"/>
              </w:rPr>
              <w:t>12.50</w:t>
            </w:r>
          </w:p>
        </w:tc>
        <w:tc>
          <w:tcPr>
            <w:tcW w:w="2843" w:type="dxa"/>
          </w:tcPr>
          <w:p w:rsidR="009E0F7B" w:rsidRPr="009E0F7B" w:rsidRDefault="009E0F7B" w:rsidP="00A141C3">
            <w:pPr>
              <w:spacing w:line="300" w:lineRule="auto"/>
              <w:jc w:val="center"/>
              <w:rPr>
                <w:rFonts w:ascii="楷体" w:eastAsia="楷体" w:hAnsi="楷体"/>
              </w:rPr>
            </w:pPr>
            <w:r>
              <w:rPr>
                <w:rFonts w:ascii="楷体" w:eastAsia="楷体" w:hAnsi="楷体" w:hint="eastAsia"/>
              </w:rPr>
              <w:t>26.67</w:t>
            </w:r>
          </w:p>
        </w:tc>
      </w:tr>
      <w:tr w:rsidR="009E0F7B" w:rsidTr="009E0F7B">
        <w:tc>
          <w:tcPr>
            <w:tcW w:w="2842" w:type="dxa"/>
          </w:tcPr>
          <w:p w:rsidR="009E0F7B" w:rsidRDefault="009E0F7B" w:rsidP="00A141C3">
            <w:pPr>
              <w:spacing w:line="300" w:lineRule="auto"/>
              <w:jc w:val="center"/>
              <w:rPr>
                <w:rFonts w:ascii="楷体" w:eastAsia="楷体" w:hAnsi="楷体"/>
              </w:rPr>
            </w:pPr>
            <w:r>
              <w:rPr>
                <w:rFonts w:ascii="楷体" w:eastAsia="楷体" w:hAnsi="楷体" w:hint="eastAsia"/>
              </w:rPr>
              <w:t>销售净利率（%）</w:t>
            </w:r>
          </w:p>
        </w:tc>
        <w:tc>
          <w:tcPr>
            <w:tcW w:w="2843" w:type="dxa"/>
          </w:tcPr>
          <w:p w:rsidR="009E0F7B" w:rsidRPr="009E0F7B" w:rsidRDefault="009E0F7B" w:rsidP="00A141C3">
            <w:pPr>
              <w:spacing w:line="300" w:lineRule="auto"/>
              <w:jc w:val="center"/>
              <w:rPr>
                <w:rFonts w:ascii="楷体" w:eastAsia="楷体" w:hAnsi="楷体"/>
              </w:rPr>
            </w:pPr>
            <w:r>
              <w:rPr>
                <w:rFonts w:ascii="楷体" w:eastAsia="楷体" w:hAnsi="楷体" w:hint="eastAsia"/>
              </w:rPr>
              <w:t>6.43</w:t>
            </w:r>
          </w:p>
        </w:tc>
        <w:tc>
          <w:tcPr>
            <w:tcW w:w="2843" w:type="dxa"/>
          </w:tcPr>
          <w:p w:rsidR="009E0F7B" w:rsidRPr="009E0F7B" w:rsidRDefault="009E0F7B" w:rsidP="00A141C3">
            <w:pPr>
              <w:spacing w:line="300" w:lineRule="auto"/>
              <w:jc w:val="center"/>
              <w:rPr>
                <w:rFonts w:ascii="楷体" w:eastAsia="楷体" w:hAnsi="楷体"/>
              </w:rPr>
            </w:pPr>
            <w:r>
              <w:rPr>
                <w:rFonts w:ascii="楷体" w:eastAsia="楷体" w:hAnsi="楷体" w:hint="eastAsia"/>
              </w:rPr>
              <w:t>17.65</w:t>
            </w:r>
          </w:p>
        </w:tc>
      </w:tr>
      <w:tr w:rsidR="009E0F7B" w:rsidTr="009E0F7B">
        <w:tc>
          <w:tcPr>
            <w:tcW w:w="2842" w:type="dxa"/>
          </w:tcPr>
          <w:p w:rsidR="009E0F7B" w:rsidRDefault="009E0F7B" w:rsidP="00A141C3">
            <w:pPr>
              <w:spacing w:line="300" w:lineRule="auto"/>
              <w:jc w:val="center"/>
              <w:rPr>
                <w:rFonts w:ascii="楷体" w:eastAsia="楷体" w:hAnsi="楷体"/>
              </w:rPr>
            </w:pPr>
            <w:r>
              <w:rPr>
                <w:rFonts w:ascii="楷体" w:eastAsia="楷体" w:hAnsi="楷体" w:hint="eastAsia"/>
              </w:rPr>
              <w:t>成本费用利润率（%）</w:t>
            </w:r>
          </w:p>
        </w:tc>
        <w:tc>
          <w:tcPr>
            <w:tcW w:w="2843" w:type="dxa"/>
          </w:tcPr>
          <w:p w:rsidR="009E0F7B" w:rsidRPr="009E0F7B" w:rsidRDefault="006C0CDA" w:rsidP="00A141C3">
            <w:pPr>
              <w:spacing w:line="300" w:lineRule="auto"/>
              <w:jc w:val="center"/>
              <w:rPr>
                <w:rFonts w:ascii="楷体" w:eastAsia="楷体" w:hAnsi="楷体"/>
              </w:rPr>
            </w:pPr>
            <w:r>
              <w:rPr>
                <w:rFonts w:ascii="楷体" w:eastAsia="楷体" w:hAnsi="楷体" w:hint="eastAsia"/>
              </w:rPr>
              <w:t>10.71</w:t>
            </w:r>
          </w:p>
        </w:tc>
        <w:tc>
          <w:tcPr>
            <w:tcW w:w="2843" w:type="dxa"/>
          </w:tcPr>
          <w:p w:rsidR="009E0F7B" w:rsidRPr="009E0F7B" w:rsidRDefault="006C0CDA" w:rsidP="00A141C3">
            <w:pPr>
              <w:spacing w:line="300" w:lineRule="auto"/>
              <w:jc w:val="center"/>
              <w:rPr>
                <w:rFonts w:ascii="楷体" w:eastAsia="楷体" w:hAnsi="楷体"/>
              </w:rPr>
            </w:pPr>
            <w:r>
              <w:rPr>
                <w:rFonts w:ascii="楷体" w:eastAsia="楷体" w:hAnsi="楷体" w:hint="eastAsia"/>
              </w:rPr>
              <w:t>34.84</w:t>
            </w:r>
          </w:p>
        </w:tc>
      </w:tr>
    </w:tbl>
    <w:p w:rsidR="009E0F7B" w:rsidRPr="009E0F7B" w:rsidRDefault="006C0CDA" w:rsidP="00A141C3">
      <w:pPr>
        <w:spacing w:line="300" w:lineRule="auto"/>
      </w:pPr>
      <w:r>
        <w:rPr>
          <w:rFonts w:hint="eastAsia"/>
        </w:rPr>
        <w:t>计算表明，</w:t>
      </w:r>
      <w:r>
        <w:rPr>
          <w:rFonts w:hint="eastAsia"/>
        </w:rPr>
        <w:t>F</w:t>
      </w:r>
      <w:r>
        <w:rPr>
          <w:rFonts w:hint="eastAsia"/>
        </w:rPr>
        <w:t>公司</w:t>
      </w:r>
      <w:r w:rsidR="005221F5">
        <w:rPr>
          <w:rFonts w:hint="eastAsia"/>
        </w:rPr>
        <w:t>2015</w:t>
      </w:r>
      <w:r>
        <w:rPr>
          <w:rFonts w:hint="eastAsia"/>
        </w:rPr>
        <w:t>年的销售盈利能力有大幅提高。</w:t>
      </w:r>
      <w:r w:rsidR="005221F5">
        <w:rPr>
          <w:rFonts w:hint="eastAsia"/>
        </w:rPr>
        <w:t>2015</w:t>
      </w:r>
      <w:r>
        <w:rPr>
          <w:rFonts w:hint="eastAsia"/>
        </w:rPr>
        <w:t>年</w:t>
      </w:r>
      <w:r>
        <w:rPr>
          <w:rFonts w:hint="eastAsia"/>
        </w:rPr>
        <w:t>F</w:t>
      </w:r>
      <w:r>
        <w:rPr>
          <w:rFonts w:hint="eastAsia"/>
        </w:rPr>
        <w:t>公司销售毛利率与销售净利率相比</w:t>
      </w:r>
      <w:r w:rsidR="005221F5">
        <w:rPr>
          <w:rFonts w:hint="eastAsia"/>
        </w:rPr>
        <w:t>2014</w:t>
      </w:r>
      <w:r>
        <w:rPr>
          <w:rFonts w:hint="eastAsia"/>
        </w:rPr>
        <w:t>年分别提高了</w:t>
      </w:r>
      <w:r>
        <w:rPr>
          <w:rFonts w:hint="eastAsia"/>
        </w:rPr>
        <w:t>14.17%</w:t>
      </w:r>
      <w:r>
        <w:rPr>
          <w:rFonts w:hint="eastAsia"/>
        </w:rPr>
        <w:t>与</w:t>
      </w:r>
      <w:r>
        <w:rPr>
          <w:rFonts w:hint="eastAsia"/>
        </w:rPr>
        <w:t>11.22%</w:t>
      </w:r>
      <w:r>
        <w:rPr>
          <w:rFonts w:hint="eastAsia"/>
        </w:rPr>
        <w:t>，说明</w:t>
      </w:r>
      <w:r>
        <w:rPr>
          <w:rFonts w:hint="eastAsia"/>
        </w:rPr>
        <w:t>F</w:t>
      </w:r>
      <w:r>
        <w:rPr>
          <w:rFonts w:hint="eastAsia"/>
        </w:rPr>
        <w:t>公司的销售能力提高带来了更多利润，反映出盈利能力的增强。</w:t>
      </w:r>
      <w:r>
        <w:rPr>
          <w:rFonts w:hint="eastAsia"/>
        </w:rPr>
        <w:t>F</w:t>
      </w:r>
      <w:r>
        <w:rPr>
          <w:rFonts w:hint="eastAsia"/>
        </w:rPr>
        <w:t>公司</w:t>
      </w:r>
      <w:r w:rsidR="005221F5">
        <w:rPr>
          <w:rFonts w:hint="eastAsia"/>
        </w:rPr>
        <w:t>2015</w:t>
      </w:r>
      <w:r>
        <w:rPr>
          <w:rFonts w:hint="eastAsia"/>
        </w:rPr>
        <w:t>年成本利润率也有很大提高，原因在于相比</w:t>
      </w:r>
      <w:r w:rsidR="005221F5">
        <w:rPr>
          <w:rFonts w:hint="eastAsia"/>
        </w:rPr>
        <w:t>2014</w:t>
      </w:r>
      <w:r>
        <w:rPr>
          <w:rFonts w:hint="eastAsia"/>
        </w:rPr>
        <w:t>年来说，</w:t>
      </w:r>
      <w:r w:rsidR="005221F5">
        <w:rPr>
          <w:rFonts w:hint="eastAsia"/>
        </w:rPr>
        <w:t>2015</w:t>
      </w:r>
      <w:r>
        <w:rPr>
          <w:rFonts w:hint="eastAsia"/>
        </w:rPr>
        <w:t>年的利润增长高于成本增长。综上</w:t>
      </w:r>
      <w:r w:rsidR="009B128E">
        <w:rPr>
          <w:rFonts w:hint="eastAsia"/>
        </w:rPr>
        <w:t>分析，</w:t>
      </w:r>
      <w:r w:rsidR="009B128E">
        <w:rPr>
          <w:rFonts w:hint="eastAsia"/>
        </w:rPr>
        <w:t>F</w:t>
      </w:r>
      <w:r w:rsidR="009B128E">
        <w:rPr>
          <w:rFonts w:hint="eastAsia"/>
        </w:rPr>
        <w:t>公司</w:t>
      </w:r>
      <w:r w:rsidR="005221F5">
        <w:rPr>
          <w:rFonts w:hint="eastAsia"/>
        </w:rPr>
        <w:t>2015</w:t>
      </w:r>
      <w:r w:rsidR="009B128E">
        <w:rPr>
          <w:rFonts w:hint="eastAsia"/>
        </w:rPr>
        <w:t>年的销售盈利能力比</w:t>
      </w:r>
      <w:r w:rsidR="005221F5">
        <w:rPr>
          <w:rFonts w:hint="eastAsia"/>
        </w:rPr>
        <w:t>2014</w:t>
      </w:r>
      <w:r w:rsidR="009B128E">
        <w:rPr>
          <w:rFonts w:hint="eastAsia"/>
        </w:rPr>
        <w:t>年有大幅提高。</w:t>
      </w:r>
    </w:p>
    <w:p w:rsidR="0097456C" w:rsidRPr="001F44E8" w:rsidRDefault="0097456C" w:rsidP="00A141C3">
      <w:pPr>
        <w:pStyle w:val="3"/>
        <w:spacing w:before="0" w:after="0" w:line="300" w:lineRule="auto"/>
        <w:ind w:firstLineChars="200" w:firstLine="422"/>
        <w:rPr>
          <w:rFonts w:ascii="宋体" w:hAnsi="宋体"/>
          <w:sz w:val="21"/>
          <w:szCs w:val="21"/>
        </w:rPr>
      </w:pPr>
      <w:r w:rsidRPr="001F44E8">
        <w:rPr>
          <w:rFonts w:ascii="宋体" w:hAnsi="宋体" w:hint="eastAsia"/>
          <w:sz w:val="21"/>
          <w:szCs w:val="21"/>
        </w:rPr>
        <w:t>4．</w:t>
      </w:r>
      <w:r w:rsidR="009B128E" w:rsidRPr="009B128E">
        <w:rPr>
          <w:rFonts w:hint="eastAsia"/>
          <w:sz w:val="21"/>
          <w:szCs w:val="21"/>
        </w:rPr>
        <w:t>简述市盈率和</w:t>
      </w:r>
      <w:r w:rsidR="009B128E" w:rsidRPr="009B128E">
        <w:rPr>
          <w:sz w:val="21"/>
          <w:szCs w:val="21"/>
        </w:rPr>
        <w:t>市净率</w:t>
      </w:r>
      <w:r w:rsidR="009B128E" w:rsidRPr="009B128E">
        <w:rPr>
          <w:rFonts w:hint="eastAsia"/>
          <w:sz w:val="21"/>
          <w:szCs w:val="21"/>
        </w:rPr>
        <w:t>的含义和分析方法。</w:t>
      </w:r>
    </w:p>
    <w:p w:rsidR="009B128E" w:rsidRDefault="009B128E" w:rsidP="00A141C3">
      <w:pPr>
        <w:snapToGrid w:val="0"/>
        <w:spacing w:line="300" w:lineRule="auto"/>
        <w:ind w:firstLineChars="200" w:firstLine="420"/>
      </w:pPr>
      <w:r>
        <w:rPr>
          <w:rFonts w:hint="eastAsia"/>
        </w:rPr>
        <w:t>市盈率和市净率是以企业盈利能力为基础计算的，主要是投资者以盈利能力分析为基础，对股票进行估值，从而为投资活动提供决策依据。</w:t>
      </w:r>
    </w:p>
    <w:p w:rsidR="009B128E" w:rsidRPr="00D07F36" w:rsidRDefault="009B128E" w:rsidP="00A141C3">
      <w:pPr>
        <w:snapToGrid w:val="0"/>
        <w:spacing w:line="300" w:lineRule="auto"/>
        <w:ind w:firstLineChars="200" w:firstLine="420"/>
      </w:pPr>
      <w:r w:rsidRPr="00D07F36">
        <w:rPr>
          <w:rFonts w:hint="eastAsia"/>
        </w:rPr>
        <w:t>市盈率是指普通股每股市价与每股收益的比率</w:t>
      </w:r>
      <w:r>
        <w:rPr>
          <w:rFonts w:hint="eastAsia"/>
        </w:rPr>
        <w:t>，</w:t>
      </w:r>
      <w:r w:rsidRPr="00D07F36">
        <w:rPr>
          <w:rFonts w:hint="eastAsia"/>
        </w:rPr>
        <w:t>其计算公式如下：</w:t>
      </w:r>
    </w:p>
    <w:p w:rsidR="009B128E" w:rsidRPr="00D07F36" w:rsidRDefault="009B128E" w:rsidP="00A141C3">
      <w:pPr>
        <w:snapToGrid w:val="0"/>
        <w:spacing w:line="300" w:lineRule="auto"/>
        <w:ind w:firstLineChars="200" w:firstLine="420"/>
      </w:pPr>
      <m:oMathPara>
        <m:oMath>
          <m:r>
            <m:rPr>
              <m:sty m:val="p"/>
            </m:rPr>
            <w:rPr>
              <w:rFonts w:ascii="Cambria Math" w:hAnsi="Cambria Math" w:hint="eastAsia"/>
            </w:rPr>
            <m:t>市盈率</m:t>
          </m:r>
          <m:r>
            <m:rPr>
              <m:sty m:val="p"/>
            </m:rPr>
            <w:rPr>
              <w:rFonts w:ascii="Cambria Math" w:hAnsi="Cambria Math" w:hint="eastAsia"/>
            </w:rPr>
            <m:t>=</m:t>
          </m:r>
          <m:f>
            <m:fPr>
              <m:ctrlPr>
                <w:rPr>
                  <w:rFonts w:ascii="Cambria Math" w:hAnsi="Cambria Math"/>
                </w:rPr>
              </m:ctrlPr>
            </m:fPr>
            <m:num>
              <m:r>
                <m:rPr>
                  <m:sty m:val="p"/>
                </m:rPr>
                <w:rPr>
                  <w:rFonts w:ascii="Cambria Math" w:hAnsi="Cambria Math" w:hint="eastAsia"/>
                </w:rPr>
                <m:t>每股市价</m:t>
              </m:r>
            </m:num>
            <m:den>
              <m:r>
                <m:rPr>
                  <m:sty m:val="p"/>
                </m:rPr>
                <w:rPr>
                  <w:rFonts w:ascii="Cambria Math" w:hAnsi="Cambria Math" w:hint="eastAsia"/>
                </w:rPr>
                <m:t>每股收益</m:t>
              </m:r>
            </m:den>
          </m:f>
        </m:oMath>
      </m:oMathPara>
      <w:bookmarkStart w:id="1" w:name="_GoBack"/>
      <w:bookmarkEnd w:id="1"/>
    </w:p>
    <w:p w:rsidR="009B128E" w:rsidRDefault="009B128E" w:rsidP="00A141C3">
      <w:pPr>
        <w:snapToGrid w:val="0"/>
        <w:spacing w:line="300" w:lineRule="auto"/>
        <w:ind w:firstLineChars="200" w:firstLine="420"/>
      </w:pPr>
      <w:r w:rsidRPr="00D07F36">
        <w:rPr>
          <w:rFonts w:hint="eastAsia"/>
        </w:rPr>
        <w:t>该比率反映普通股股东愿意为每</w:t>
      </w:r>
      <w:r w:rsidRPr="00D07F36">
        <w:rPr>
          <w:rFonts w:hint="eastAsia"/>
        </w:rPr>
        <w:t>1</w:t>
      </w:r>
      <w:r w:rsidRPr="00D07F36">
        <w:rPr>
          <w:rFonts w:hint="eastAsia"/>
        </w:rPr>
        <w:t>元净利润支付的价格。该指标比值越大</w:t>
      </w:r>
      <w:r>
        <w:rPr>
          <w:rFonts w:hint="eastAsia"/>
        </w:rPr>
        <w:t>，</w:t>
      </w:r>
      <w:r w:rsidRPr="00D07F36">
        <w:rPr>
          <w:rFonts w:hint="eastAsia"/>
        </w:rPr>
        <w:t>说明市场对公司的未来越看好</w:t>
      </w:r>
      <w:r>
        <w:rPr>
          <w:rFonts w:hint="eastAsia"/>
        </w:rPr>
        <w:t>，</w:t>
      </w:r>
      <w:r w:rsidRPr="00D07F36">
        <w:rPr>
          <w:rFonts w:hint="eastAsia"/>
        </w:rPr>
        <w:t>表明公司具有良好的发展前景</w:t>
      </w:r>
      <w:r>
        <w:rPr>
          <w:rFonts w:hint="eastAsia"/>
        </w:rPr>
        <w:t>，</w:t>
      </w:r>
      <w:r w:rsidRPr="00D07F36">
        <w:rPr>
          <w:rFonts w:hint="eastAsia"/>
        </w:rPr>
        <w:t>投资者预期能获得很好的回报。在每股收益确定的情况下</w:t>
      </w:r>
      <w:r>
        <w:rPr>
          <w:rFonts w:hint="eastAsia"/>
        </w:rPr>
        <w:t>，</w:t>
      </w:r>
      <w:r w:rsidRPr="00D07F36">
        <w:rPr>
          <w:rFonts w:hint="eastAsia"/>
        </w:rPr>
        <w:t>市盈率越高</w:t>
      </w:r>
      <w:r>
        <w:rPr>
          <w:rFonts w:hint="eastAsia"/>
        </w:rPr>
        <w:t>，</w:t>
      </w:r>
      <w:r w:rsidRPr="00D07F36">
        <w:rPr>
          <w:rFonts w:hint="eastAsia"/>
        </w:rPr>
        <w:t>风险越大。</w:t>
      </w:r>
    </w:p>
    <w:p w:rsidR="009B128E" w:rsidRPr="00D07F36" w:rsidRDefault="009B128E" w:rsidP="00A141C3">
      <w:pPr>
        <w:snapToGrid w:val="0"/>
        <w:spacing w:line="300" w:lineRule="auto"/>
        <w:ind w:firstLineChars="200" w:firstLine="420"/>
      </w:pPr>
      <w:r w:rsidRPr="00D07F36">
        <w:rPr>
          <w:rFonts w:hint="eastAsia"/>
        </w:rPr>
        <w:t>市净率是指普通股每股市价与每股净资产的比率。其计算公式如下：</w:t>
      </w:r>
    </w:p>
    <w:p w:rsidR="009B128E" w:rsidRDefault="009B128E" w:rsidP="00A141C3">
      <w:pPr>
        <w:snapToGrid w:val="0"/>
        <w:spacing w:line="300" w:lineRule="auto"/>
        <w:ind w:firstLineChars="200" w:firstLine="420"/>
      </w:pPr>
      <m:oMathPara>
        <m:oMath>
          <m:r>
            <m:rPr>
              <m:sty m:val="p"/>
            </m:rPr>
            <w:rPr>
              <w:rFonts w:ascii="Cambria Math" w:hAnsi="Cambria Math" w:hint="eastAsia"/>
            </w:rPr>
            <m:t>市净率</m:t>
          </m:r>
          <m:r>
            <m:rPr>
              <m:sty m:val="p"/>
            </m:rPr>
            <w:rPr>
              <w:rFonts w:ascii="Cambria Math" w:hAnsi="Cambria Math" w:hint="eastAsia"/>
            </w:rPr>
            <m:t>=</m:t>
          </m:r>
          <m:f>
            <m:fPr>
              <m:ctrlPr>
                <w:rPr>
                  <w:rFonts w:ascii="Cambria Math" w:hAnsi="Cambria Math"/>
                </w:rPr>
              </m:ctrlPr>
            </m:fPr>
            <m:num>
              <m:r>
                <m:rPr>
                  <m:sty m:val="p"/>
                </m:rPr>
                <w:rPr>
                  <w:rFonts w:ascii="Cambria Math" w:hAnsi="Cambria Math" w:hint="eastAsia"/>
                </w:rPr>
                <m:t>每股市价</m:t>
              </m:r>
            </m:num>
            <m:den>
              <m:r>
                <m:rPr>
                  <m:sty m:val="p"/>
                </m:rPr>
                <w:rPr>
                  <w:rFonts w:ascii="Cambria Math" w:hAnsi="Cambria Math" w:hint="eastAsia"/>
                </w:rPr>
                <m:t>每股净资产</m:t>
              </m:r>
            </m:den>
          </m:f>
        </m:oMath>
      </m:oMathPara>
    </w:p>
    <w:p w:rsidR="009B128E" w:rsidRPr="00D07F36" w:rsidRDefault="009B128E" w:rsidP="00A141C3">
      <w:pPr>
        <w:snapToGrid w:val="0"/>
        <w:spacing w:line="300" w:lineRule="auto"/>
        <w:ind w:firstLineChars="200" w:firstLine="420"/>
        <w:rPr>
          <w:rFonts w:ascii="Cambria Math" w:hAnsi="Cambria Math" w:hint="eastAsia"/>
          <w:oMath/>
        </w:rPr>
      </w:pPr>
    </w:p>
    <w:p w:rsidR="009B128E" w:rsidRPr="00D07F36" w:rsidRDefault="009B128E" w:rsidP="00A141C3">
      <w:pPr>
        <w:snapToGrid w:val="0"/>
        <w:spacing w:line="300" w:lineRule="auto"/>
        <w:ind w:firstLineChars="200" w:firstLine="420"/>
      </w:pPr>
      <w:r w:rsidRPr="00D07F36">
        <w:rPr>
          <w:rFonts w:hint="eastAsia"/>
        </w:rPr>
        <w:t>该比率反映普通股股东愿意为每</w:t>
      </w:r>
      <w:r w:rsidRPr="00D07F36">
        <w:rPr>
          <w:rFonts w:hint="eastAsia"/>
        </w:rPr>
        <w:t>1</w:t>
      </w:r>
      <w:r w:rsidRPr="00D07F36">
        <w:rPr>
          <w:rFonts w:hint="eastAsia"/>
        </w:rPr>
        <w:t>元净资产支付的价格。说明市场对公司资产质量的评价。其将公司股票的历史成本和现行市场交易价格结合起来</w:t>
      </w:r>
      <w:r>
        <w:rPr>
          <w:rFonts w:hint="eastAsia"/>
        </w:rPr>
        <w:t>，</w:t>
      </w:r>
      <w:r w:rsidRPr="00D07F36">
        <w:rPr>
          <w:rFonts w:hint="eastAsia"/>
        </w:rPr>
        <w:t>能够比较全面地反映投资者对该公司发行股票热衷的程度</w:t>
      </w:r>
      <w:r>
        <w:rPr>
          <w:rFonts w:hint="eastAsia"/>
        </w:rPr>
        <w:t>，</w:t>
      </w:r>
      <w:r w:rsidRPr="00D07F36">
        <w:rPr>
          <w:rFonts w:hint="eastAsia"/>
        </w:rPr>
        <w:t>同时也反映了该公司股票成长的潜力。该指标越大</w:t>
      </w:r>
      <w:r>
        <w:rPr>
          <w:rFonts w:hint="eastAsia"/>
        </w:rPr>
        <w:t>，</w:t>
      </w:r>
      <w:r w:rsidRPr="00D07F36">
        <w:rPr>
          <w:rFonts w:hint="eastAsia"/>
        </w:rPr>
        <w:t>说明该股票成长的可能性极大</w:t>
      </w:r>
      <w:r>
        <w:rPr>
          <w:rFonts w:hint="eastAsia"/>
        </w:rPr>
        <w:t>，</w:t>
      </w:r>
      <w:r w:rsidRPr="00D07F36">
        <w:rPr>
          <w:rFonts w:hint="eastAsia"/>
        </w:rPr>
        <w:t>发展潜力大</w:t>
      </w:r>
      <w:r>
        <w:rPr>
          <w:rFonts w:hint="eastAsia"/>
        </w:rPr>
        <w:t>，</w:t>
      </w:r>
      <w:r w:rsidRPr="00D07F36">
        <w:rPr>
          <w:rFonts w:hint="eastAsia"/>
        </w:rPr>
        <w:t>受投资者“追捧”的可能性极大。</w:t>
      </w:r>
    </w:p>
    <w:p w:rsidR="0097456C" w:rsidRPr="009B128E" w:rsidRDefault="0097456C" w:rsidP="00A141C3">
      <w:pPr>
        <w:spacing w:line="300" w:lineRule="auto"/>
        <w:ind w:firstLineChars="200" w:firstLine="420"/>
        <w:rPr>
          <w:rFonts w:ascii="宋体" w:hAnsi="宋体"/>
        </w:rPr>
      </w:pPr>
    </w:p>
    <w:sectPr w:rsidR="0097456C" w:rsidRPr="009B128E" w:rsidSect="006961A3">
      <w:footerReference w:type="even" r:id="rId7"/>
      <w:footerReference w:type="default" r:id="rId8"/>
      <w:pgSz w:w="11906" w:h="16838"/>
      <w:pgMar w:top="1440" w:right="1797" w:bottom="1440" w:left="1797" w:header="851" w:footer="992" w:gutter="0"/>
      <w:cols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4740" w:rsidRDefault="00414740" w:rsidP="0097456C">
      <w:r>
        <w:separator/>
      </w:r>
    </w:p>
  </w:endnote>
  <w:endnote w:type="continuationSeparator" w:id="0">
    <w:p w:rsidR="00414740" w:rsidRDefault="00414740" w:rsidP="00974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A61" w:rsidRDefault="00231616" w:rsidP="00383D69">
    <w:pPr>
      <w:pStyle w:val="a4"/>
      <w:framePr w:wrap="around" w:vAnchor="text" w:hAnchor="margin" w:xAlign="center" w:y="1"/>
      <w:rPr>
        <w:rStyle w:val="a5"/>
      </w:rPr>
    </w:pPr>
    <w:r>
      <w:rPr>
        <w:rStyle w:val="a5"/>
      </w:rPr>
      <w:fldChar w:fldCharType="begin"/>
    </w:r>
    <w:r w:rsidR="00390166">
      <w:rPr>
        <w:rStyle w:val="a5"/>
      </w:rPr>
      <w:instrText xml:space="preserve">PAGE  </w:instrText>
    </w:r>
    <w:r>
      <w:rPr>
        <w:rStyle w:val="a5"/>
      </w:rPr>
      <w:fldChar w:fldCharType="end"/>
    </w:r>
  </w:p>
  <w:p w:rsidR="003D2A61" w:rsidRDefault="0041474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D2A61" w:rsidRDefault="00231616" w:rsidP="00383D69">
    <w:pPr>
      <w:pStyle w:val="a4"/>
      <w:framePr w:wrap="around" w:vAnchor="text" w:hAnchor="margin" w:xAlign="center" w:y="1"/>
      <w:rPr>
        <w:rStyle w:val="a5"/>
      </w:rPr>
    </w:pPr>
    <w:r>
      <w:rPr>
        <w:rStyle w:val="a5"/>
      </w:rPr>
      <w:fldChar w:fldCharType="begin"/>
    </w:r>
    <w:r w:rsidR="00390166">
      <w:rPr>
        <w:rStyle w:val="a5"/>
      </w:rPr>
      <w:instrText xml:space="preserve">PAGE  </w:instrText>
    </w:r>
    <w:r>
      <w:rPr>
        <w:rStyle w:val="a5"/>
      </w:rPr>
      <w:fldChar w:fldCharType="separate"/>
    </w:r>
    <w:r w:rsidR="005221F5">
      <w:rPr>
        <w:rStyle w:val="a5"/>
        <w:noProof/>
      </w:rPr>
      <w:t>1</w:t>
    </w:r>
    <w:r>
      <w:rPr>
        <w:rStyle w:val="a5"/>
      </w:rPr>
      <w:fldChar w:fldCharType="end"/>
    </w:r>
  </w:p>
  <w:p w:rsidR="003D2A61" w:rsidRDefault="0041474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4740" w:rsidRDefault="00414740" w:rsidP="0097456C">
      <w:r>
        <w:separator/>
      </w:r>
    </w:p>
  </w:footnote>
  <w:footnote w:type="continuationSeparator" w:id="0">
    <w:p w:rsidR="00414740" w:rsidRDefault="00414740" w:rsidP="0097456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97456C"/>
    <w:rsid w:val="002303DC"/>
    <w:rsid w:val="00231616"/>
    <w:rsid w:val="00390166"/>
    <w:rsid w:val="003E7015"/>
    <w:rsid w:val="00414740"/>
    <w:rsid w:val="0043791D"/>
    <w:rsid w:val="0046541E"/>
    <w:rsid w:val="004E3D3F"/>
    <w:rsid w:val="005221F5"/>
    <w:rsid w:val="00602955"/>
    <w:rsid w:val="00666133"/>
    <w:rsid w:val="006C0CDA"/>
    <w:rsid w:val="00731526"/>
    <w:rsid w:val="008C6134"/>
    <w:rsid w:val="009613D0"/>
    <w:rsid w:val="0097210A"/>
    <w:rsid w:val="0097456C"/>
    <w:rsid w:val="009B128E"/>
    <w:rsid w:val="009E0F7B"/>
    <w:rsid w:val="00A141C3"/>
    <w:rsid w:val="00A42C78"/>
    <w:rsid w:val="00A54529"/>
    <w:rsid w:val="00A554C6"/>
    <w:rsid w:val="00A94231"/>
    <w:rsid w:val="00A96BFB"/>
    <w:rsid w:val="00AD6E6F"/>
    <w:rsid w:val="00BB6A6E"/>
    <w:rsid w:val="00C03DF4"/>
    <w:rsid w:val="00E536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D2829F4-3AA1-4310-BED5-F577776F4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456C"/>
    <w:pPr>
      <w:widowControl w:val="0"/>
      <w:jc w:val="both"/>
    </w:pPr>
    <w:rPr>
      <w:rFonts w:ascii="Times New Roman" w:eastAsia="宋体" w:hAnsi="Times New Roman" w:cs="Times New Roman"/>
      <w:szCs w:val="24"/>
    </w:rPr>
  </w:style>
  <w:style w:type="paragraph" w:styleId="1">
    <w:name w:val="heading 1"/>
    <w:aliases w:val="topsage"/>
    <w:basedOn w:val="a"/>
    <w:next w:val="a"/>
    <w:link w:val="1Char"/>
    <w:qFormat/>
    <w:rsid w:val="0097456C"/>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97456C"/>
    <w:pPr>
      <w:keepNext/>
      <w:keepLines/>
      <w:spacing w:before="260" w:after="260" w:line="416" w:lineRule="auto"/>
      <w:outlineLvl w:val="1"/>
    </w:pPr>
    <w:rPr>
      <w:rFonts w:ascii="Arial" w:eastAsia="黑体" w:hAnsi="Arial"/>
      <w:b/>
      <w:bCs/>
      <w:sz w:val="32"/>
      <w:szCs w:val="32"/>
    </w:rPr>
  </w:style>
  <w:style w:type="paragraph" w:styleId="3">
    <w:name w:val="heading 3"/>
    <w:aliases w:val="大家网,topsage.com"/>
    <w:basedOn w:val="a"/>
    <w:next w:val="a"/>
    <w:link w:val="3Char"/>
    <w:qFormat/>
    <w:rsid w:val="0097456C"/>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745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97456C"/>
    <w:rPr>
      <w:sz w:val="18"/>
      <w:szCs w:val="18"/>
    </w:rPr>
  </w:style>
  <w:style w:type="paragraph" w:styleId="a4">
    <w:name w:val="footer"/>
    <w:basedOn w:val="a"/>
    <w:link w:val="Char0"/>
    <w:unhideWhenUsed/>
    <w:rsid w:val="0097456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7456C"/>
    <w:rPr>
      <w:sz w:val="18"/>
      <w:szCs w:val="18"/>
    </w:rPr>
  </w:style>
  <w:style w:type="character" w:customStyle="1" w:styleId="1Char">
    <w:name w:val="标题 1 Char"/>
    <w:aliases w:val="topsage Char"/>
    <w:basedOn w:val="a0"/>
    <w:link w:val="1"/>
    <w:rsid w:val="0097456C"/>
    <w:rPr>
      <w:rFonts w:ascii="Times New Roman" w:eastAsia="宋体" w:hAnsi="Times New Roman" w:cs="Times New Roman"/>
      <w:b/>
      <w:bCs/>
      <w:kern w:val="44"/>
      <w:sz w:val="44"/>
      <w:szCs w:val="44"/>
    </w:rPr>
  </w:style>
  <w:style w:type="character" w:customStyle="1" w:styleId="2Char">
    <w:name w:val="标题 2 Char"/>
    <w:basedOn w:val="a0"/>
    <w:link w:val="2"/>
    <w:rsid w:val="0097456C"/>
    <w:rPr>
      <w:rFonts w:ascii="Arial" w:eastAsia="黑体" w:hAnsi="Arial" w:cs="Times New Roman"/>
      <w:b/>
      <w:bCs/>
      <w:sz w:val="32"/>
      <w:szCs w:val="32"/>
    </w:rPr>
  </w:style>
  <w:style w:type="character" w:customStyle="1" w:styleId="3Char">
    <w:name w:val="标题 3 Char"/>
    <w:aliases w:val="大家网 Char,topsage.com Char"/>
    <w:basedOn w:val="a0"/>
    <w:link w:val="3"/>
    <w:rsid w:val="0097456C"/>
    <w:rPr>
      <w:rFonts w:ascii="Times New Roman" w:eastAsia="宋体" w:hAnsi="Times New Roman" w:cs="Times New Roman"/>
      <w:b/>
      <w:bCs/>
      <w:sz w:val="32"/>
      <w:szCs w:val="32"/>
    </w:rPr>
  </w:style>
  <w:style w:type="character" w:styleId="a5">
    <w:name w:val="page number"/>
    <w:basedOn w:val="a0"/>
    <w:rsid w:val="0097456C"/>
  </w:style>
  <w:style w:type="paragraph" w:styleId="a6">
    <w:name w:val="Document Map"/>
    <w:basedOn w:val="a"/>
    <w:link w:val="Char1"/>
    <w:uiPriority w:val="99"/>
    <w:semiHidden/>
    <w:unhideWhenUsed/>
    <w:rsid w:val="0097456C"/>
    <w:rPr>
      <w:rFonts w:ascii="宋体"/>
      <w:sz w:val="18"/>
      <w:szCs w:val="18"/>
    </w:rPr>
  </w:style>
  <w:style w:type="character" w:customStyle="1" w:styleId="Char1">
    <w:name w:val="文档结构图 Char"/>
    <w:basedOn w:val="a0"/>
    <w:link w:val="a6"/>
    <w:uiPriority w:val="99"/>
    <w:semiHidden/>
    <w:rsid w:val="0097456C"/>
    <w:rPr>
      <w:rFonts w:ascii="宋体" w:eastAsia="宋体" w:hAnsi="Times New Roman" w:cs="Times New Roman"/>
      <w:sz w:val="18"/>
      <w:szCs w:val="18"/>
    </w:rPr>
  </w:style>
  <w:style w:type="character" w:styleId="a7">
    <w:name w:val="Hyperlink"/>
    <w:basedOn w:val="a0"/>
    <w:uiPriority w:val="99"/>
    <w:unhideWhenUsed/>
    <w:rsid w:val="0097456C"/>
    <w:rPr>
      <w:color w:val="0000FF"/>
      <w:u w:val="single"/>
    </w:rPr>
  </w:style>
  <w:style w:type="paragraph" w:styleId="a8">
    <w:name w:val="Balloon Text"/>
    <w:basedOn w:val="a"/>
    <w:link w:val="Char2"/>
    <w:uiPriority w:val="99"/>
    <w:semiHidden/>
    <w:unhideWhenUsed/>
    <w:rsid w:val="0097456C"/>
    <w:rPr>
      <w:sz w:val="18"/>
      <w:szCs w:val="18"/>
    </w:rPr>
  </w:style>
  <w:style w:type="character" w:customStyle="1" w:styleId="Char2">
    <w:name w:val="批注框文本 Char"/>
    <w:basedOn w:val="a0"/>
    <w:link w:val="a8"/>
    <w:uiPriority w:val="99"/>
    <w:semiHidden/>
    <w:rsid w:val="0097456C"/>
    <w:rPr>
      <w:rFonts w:ascii="Times New Roman" w:eastAsia="宋体" w:hAnsi="Times New Roman" w:cs="Times New Roman"/>
      <w:sz w:val="18"/>
      <w:szCs w:val="18"/>
    </w:rPr>
  </w:style>
  <w:style w:type="table" w:styleId="a9">
    <w:name w:val="Table Grid"/>
    <w:basedOn w:val="a1"/>
    <w:uiPriority w:val="39"/>
    <w:rsid w:val="009E0F7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E536A9"/>
    <w:pPr>
      <w:widowControl w:val="0"/>
      <w:autoSpaceDE w:val="0"/>
      <w:autoSpaceDN w:val="0"/>
      <w:adjustRightInd w:val="0"/>
    </w:pPr>
    <w:rPr>
      <w:rFonts w:ascii="Times New Roman" w:hAnsi="Times New Roman" w:cs="Times New Roman"/>
      <w:color w:val="000000"/>
      <w:kern w:val="0"/>
      <w:sz w:val="24"/>
      <w:szCs w:val="24"/>
    </w:rPr>
  </w:style>
  <w:style w:type="character" w:styleId="aa">
    <w:name w:val="Placeholder Text"/>
    <w:basedOn w:val="a0"/>
    <w:uiPriority w:val="99"/>
    <w:semiHidden/>
    <w:rsid w:val="0060295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133522.ht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TotalTime>
  <Pages>1</Pages>
  <Words>273</Words>
  <Characters>1561</Characters>
  <Application>Microsoft Office Word</Application>
  <DocSecurity>0</DocSecurity>
  <Lines>13</Lines>
  <Paragraphs>3</Paragraphs>
  <ScaleCrop>false</ScaleCrop>
  <Company/>
  <LinksUpToDate>false</LinksUpToDate>
  <CharactersWithSpaces>1831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王华</dc:creator>
  <cp:keywords/>
  <dc:description/>
  <cp:lastModifiedBy>zhh</cp:lastModifiedBy>
  <cp:revision>13</cp:revision>
  <dcterms:created xsi:type="dcterms:W3CDTF">2015-12-28T02:20:00Z</dcterms:created>
  <dcterms:modified xsi:type="dcterms:W3CDTF">2016-06-20T05:21:00Z</dcterms:modified>
</cp:coreProperties>
</file>